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jc w:val="center"/>
        <w:rPr>
          <w:rFonts w:ascii="Times New Roman" w:hAnsi="Times New Roman"/>
        </w:rPr>
      </w:pPr>
      <w:r>
        <w:rPr>
          <w:rFonts w:cs="Arial" w:ascii="Times New Roman" w:hAnsi="Times New Roman" w:cstheme="minorHAnsi"/>
          <w:b/>
          <w:bCs/>
          <w:sz w:val="32"/>
          <w:szCs w:val="32"/>
        </w:rPr>
        <w:t>Hranilniki za vodik (H</w:t>
      </w:r>
      <w:r>
        <w:rPr>
          <w:rFonts w:cs="Arial" w:ascii="Times New Roman" w:hAnsi="Times New Roman" w:cstheme="minorHAnsi"/>
          <w:b/>
          <w:bCs/>
          <w:sz w:val="32"/>
          <w:szCs w:val="32"/>
          <w:vertAlign w:val="subscript"/>
        </w:rPr>
        <w:t>2</w:t>
      </w:r>
      <w:r>
        <w:rPr>
          <w:rFonts w:cs="Arial" w:ascii="Times New Roman" w:hAnsi="Times New Roman" w:cstheme="minorHAnsi"/>
          <w:b/>
          <w:bCs/>
          <w:sz w:val="32"/>
          <w:szCs w:val="32"/>
        </w:rPr>
        <w:t xml:space="preserve">) </w:t>
      </w:r>
    </w:p>
    <w:p>
      <w:pPr>
        <w:pStyle w:val="Default"/>
        <w:spacing w:before="24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</w:rPr>
        <w:t>mag. Marijan Koželj</w:t>
      </w:r>
    </w:p>
    <w:p>
      <w:pPr>
        <w:pStyle w:val="Default"/>
        <w:spacing w:lineRule="auto" w:line="240" w:before="0" w:after="0"/>
        <w:jc w:val="both"/>
        <w:rPr>
          <w:sz w:val="24"/>
        </w:rPr>
      </w:pPr>
      <w:r>
        <w:rPr>
          <w:sz w:val="24"/>
        </w:rPr>
      </w:r>
    </w:p>
    <w:p>
      <w:pPr>
        <w:pStyle w:val="Default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ab/>
        <w:t>Pričakovanja o prenosu presežkov električne energije iz obnovljivih virov energije iz poletnega obdobja v zimsko so velika. A po navedbah »tehnologije pridobivanja vodika (H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>) z elektrolizo vode (energijski izkoristek 70 % od električne energije v H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>) in uporabe H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še niso povsem razvite«. V velikih hranilnikih (okvirno 40–500 tisoč 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>) za vodik (H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>) globoko pod površino zemlje (500 m in več) morajo biti tlaki večji (okvirno do 280 bar in več), če naj bodo količine energije, shranjene v H</w:t>
      </w:r>
      <w:r>
        <w:rPr>
          <w:rFonts w:ascii="Times New Roman" w:hAnsi="Times New Roman"/>
          <w:sz w:val="24"/>
          <w:vertAlign w:val="subscript"/>
        </w:rPr>
        <w:t>2,</w:t>
      </w:r>
      <w:r>
        <w:rPr>
          <w:rFonts w:ascii="Times New Roman" w:hAnsi="Times New Roman"/>
          <w:sz w:val="24"/>
        </w:rPr>
        <w:t xml:space="preserve"> količkaj znatne. Vršni del takšnega hranilnika mora biti globoko pod površino zemlje, kajti na kvadratni meter tlorisne površine hranilnika pri npr. 200 bar znaša sila tlaka 2000 t teže mase (npr. kamenin) nad njim. Material sten hranilnikov mora biti tudi vodiku ustrezen, kajti H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pri večjih tlakih in višjih temperaturah (npr. ob komprimiranju) difundira – prodira v kovinsko steno in takšen material postane krhek, H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pa se izgublja ter v mešanici z zrakom hitro postane zelo eksploziven.</w:t>
      </w:r>
    </w:p>
    <w:p>
      <w:pPr>
        <w:pStyle w:val="Default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ab/>
        <w:t>V Sloveniji geološke plasti niso primerne za neposredno podzemno shranjevanje H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>. Morda bi bilo treba raziskati, ali bi bilo mogoče stene kakšnih večjih naravnih votlin ali prostorov opuščenih rudnikov zgladiti in prevleči s primerno kovinsko oblogo, da bi pridobili dovolj prostornine za prihodnje slovenske potrebe. Hramba/pretvorba električne energije v elementarno obliko H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pomeni manjše energijske izgube kot nadaljnji procesi pretvorb energije iz H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v kakšno drugo substanco, ki jo je lažje hraniti, npr. amonijak, (metilni) alkohol ..., in nato nazaj v električno energijo.</w:t>
      </w:r>
    </w:p>
    <w:p>
      <w:pPr>
        <w:pStyle w:val="Default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</w:rPr>
        <w:tab/>
        <w:t>Zamislimo si lahko, da se problemu sezonskega hranjenja H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izognemo s pretvorbo v kakšno drugo substanco, s </w:t>
      </w:r>
      <w:r>
        <w:rPr>
          <w:rStyle w:val="Emphasis"/>
          <w:rFonts w:eastAsia="HG Mincho Light J;msmincho" w:cs="Times New Roman" w:ascii="Times New Roman" w:hAnsi="Times New Roman"/>
          <w:i w:val="false"/>
          <w:iCs w:val="false"/>
          <w:sz w:val="24"/>
        </w:rPr>
        <w:t>kemijskimi reakcijami pri višjih temperaturah ob prisotnosti katalizatorjev s</w:t>
      </w:r>
      <w:r>
        <w:rPr>
          <w:rStyle w:val="Emphasis"/>
          <w:rFonts w:eastAsia="Times New Roman" w:cs="Times New Roman" w:ascii="Times New Roman" w:hAnsi="Times New Roman"/>
          <w:i w:val="false"/>
          <w:iCs w:val="false"/>
          <w:sz w:val="24"/>
        </w:rPr>
        <w:t xml:space="preserve"> pokrivanjem porabe pogonov in izgub toplote. </w:t>
      </w:r>
      <w:r>
        <w:rPr>
          <w:rStyle w:val="Emphasis"/>
          <w:rFonts w:eastAsia="Noto Sans CJK SC Regular" w:cs="Times New Roman" w:ascii="Times New Roman" w:hAnsi="Times New Roman"/>
          <w:i w:val="false"/>
          <w:iCs w:val="false"/>
          <w:sz w:val="24"/>
        </w:rPr>
        <w:t>Primera</w:t>
      </w:r>
      <w:r>
        <w:rPr>
          <w:rStyle w:val="Emphasis"/>
          <w:rFonts w:eastAsia="HG Mincho Light J;msmincho" w:cs="Times New Roman" w:ascii="Times New Roman" w:hAnsi="Times New Roman"/>
          <w:i w:val="false"/>
          <w:iCs w:val="false"/>
          <w:sz w:val="24"/>
        </w:rPr>
        <w:t xml:space="preserve"> pretvorb (npr.</w:t>
      </w:r>
      <w:r>
        <w:rPr>
          <w:rStyle w:val="Emphasis"/>
          <w:rFonts w:eastAsia="Noto Sans CJK SC Regular" w:cs="Times New Roman" w:ascii="Times New Roman" w:hAnsi="Times New Roman"/>
          <w:i w:val="false"/>
          <w:iCs w:val="false"/>
          <w:sz w:val="24"/>
        </w:rPr>
        <w:t xml:space="preserve"> snovi v gramih, zgornja kurilna vrednost H</w:t>
      </w:r>
      <w:r>
        <w:rPr>
          <w:rStyle w:val="Emphasis"/>
          <w:rFonts w:eastAsia="Noto Sans CJK SC Regular" w:cs="Times New Roman" w:ascii="Times New Roman" w:hAnsi="Times New Roman"/>
          <w:i w:val="false"/>
          <w:iCs w:val="false"/>
          <w:sz w:val="24"/>
          <w:vertAlign w:val="subscript"/>
        </w:rPr>
        <w:t>2</w:t>
      </w:r>
      <w:r>
        <w:rPr>
          <w:rStyle w:val="Emphasis"/>
          <w:rFonts w:eastAsia="Noto Sans CJK SC Regular" w:cs="Times New Roman" w:ascii="Times New Roman" w:hAnsi="Times New Roman"/>
          <w:i w:val="false"/>
          <w:iCs w:val="false"/>
          <w:sz w:val="24"/>
        </w:rPr>
        <w:t xml:space="preserve"> in nove substance v kJ/g ... stehiometrijsko</w:t>
      </w:r>
      <w:r>
        <w:rPr>
          <w:rStyle w:val="Emphasis"/>
          <w:rFonts w:ascii="Times New Roman" w:hAnsi="Times New Roman"/>
          <w:i w:val="false"/>
          <w:iCs w:val="false"/>
          <w:sz w:val="24"/>
        </w:rPr>
        <w:t xml:space="preserve">, energijski izkoristek </w:t>
      </w:r>
      <w:r>
        <w:rPr>
          <w:rStyle w:val="Emphasis"/>
          <w:rFonts w:ascii="Times New Roman" w:hAnsi="Times New Roman"/>
          <w:sz w:val="24"/>
        </w:rPr>
        <w:t>η</w:t>
      </w:r>
      <w:r>
        <w:rPr>
          <w:rStyle w:val="Emphasis"/>
          <w:rFonts w:ascii="Times New Roman" w:hAnsi="Times New Roman"/>
          <w:i w:val="false"/>
          <w:iCs w:val="false"/>
          <w:sz w:val="24"/>
        </w:rPr>
        <w:t xml:space="preserve"> – v naslednjih primerih teoretično/največ</w:t>
      </w:r>
      <w:r>
        <w:rPr>
          <w:rStyle w:val="Emphasis"/>
          <w:rFonts w:eastAsia="Noto Sans CJK SC Regular" w:cs="Times New Roman" w:ascii="Times New Roman" w:hAnsi="Times New Roman"/>
          <w:i w:val="false"/>
          <w:iCs w:val="false"/>
          <w:sz w:val="24"/>
        </w:rPr>
        <w:t>) sta:</w:t>
      </w:r>
    </w:p>
    <w:p>
      <w:pPr>
        <w:pStyle w:val="Default"/>
        <w:numPr>
          <w:ilvl w:val="0"/>
          <w:numId w:val="1"/>
        </w:numPr>
        <w:spacing w:lineRule="auto" w:line="240" w:before="0" w:after="0"/>
        <w:rPr/>
      </w:pPr>
      <w:r>
        <w:rPr>
          <w:rFonts w:ascii="Times New Roman" w:hAnsi="Times New Roman"/>
          <w:sz w:val="24"/>
        </w:rPr>
        <w:tab/>
        <w:t xml:space="preserve">v amonijak </w:t>
      </w:r>
      <w:r>
        <w:rPr>
          <w:rStyle w:val="Emphasis"/>
          <w:rFonts w:eastAsia="Noto Sans CJK SC Regular" w:cs="Times New Roman" w:ascii="Times New Roman" w:hAnsi="Times New Roman"/>
          <w:i w:val="false"/>
          <w:iCs w:val="false"/>
          <w:sz w:val="24"/>
        </w:rPr>
        <w:t>3H</w:t>
      </w:r>
      <w:r>
        <w:rPr>
          <w:rStyle w:val="Emphasis"/>
          <w:rFonts w:eastAsia="Noto Sans CJK SC Regular" w:cs="Times New Roman" w:ascii="Times New Roman" w:hAnsi="Times New Roman"/>
          <w:i w:val="false"/>
          <w:iCs w:val="false"/>
          <w:sz w:val="24"/>
          <w:vertAlign w:val="subscript"/>
        </w:rPr>
        <w:t>2</w:t>
      </w:r>
      <w:r>
        <w:rPr>
          <w:rStyle w:val="Emphasis"/>
          <w:rFonts w:eastAsia="Noto Sans CJK SC Regular" w:cs="Times New Roman" w:ascii="Times New Roman" w:hAnsi="Times New Roman"/>
          <w:i w:val="false"/>
          <w:iCs w:val="false"/>
          <w:sz w:val="24"/>
        </w:rPr>
        <w:t xml:space="preserve"> + N</w:t>
      </w:r>
      <w:r>
        <w:rPr>
          <w:rStyle w:val="Emphasis"/>
          <w:rFonts w:eastAsia="Noto Sans CJK SC Regular" w:cs="Times New Roman" w:ascii="Times New Roman" w:hAnsi="Times New Roman"/>
          <w:i w:val="false"/>
          <w:iCs w:val="false"/>
          <w:sz w:val="24"/>
          <w:vertAlign w:val="subscript"/>
        </w:rPr>
        <w:t>2</w:t>
      </w:r>
      <w:r>
        <w:rPr>
          <w:rStyle w:val="Emphasis"/>
          <w:rFonts w:eastAsia="Noto Sans CJK SC Regular" w:cs="Times New Roman" w:ascii="Times New Roman" w:hAnsi="Times New Roman"/>
          <w:i w:val="false"/>
          <w:iCs w:val="false"/>
          <w:sz w:val="24"/>
        </w:rPr>
        <w:t xml:space="preserve"> ↔ 2NH</w:t>
      </w:r>
      <w:r>
        <w:rPr>
          <w:rStyle w:val="Emphasis"/>
          <w:rFonts w:eastAsia="Noto Sans CJK SC Regular" w:cs="Times New Roman" w:ascii="Times New Roman" w:hAnsi="Times New Roman"/>
          <w:i w:val="false"/>
          <w:iCs w:val="false"/>
          <w:sz w:val="24"/>
          <w:vertAlign w:val="subscript"/>
        </w:rPr>
        <w:t>3</w:t>
      </w:r>
      <w:r>
        <w:rPr>
          <w:rStyle w:val="Emphasis"/>
          <w:rFonts w:eastAsia="Times New Roman" w:cs="Times New Roman" w:ascii="Times New Roman" w:hAnsi="Times New Roman"/>
          <w:i w:val="false"/>
          <w:iCs w:val="false"/>
          <w:sz w:val="24"/>
        </w:rPr>
        <w:t xml:space="preserve"> – Δ</w:t>
      </w:r>
      <w:r>
        <w:rPr>
          <w:rStyle w:val="Emphasis"/>
          <w:rFonts w:eastAsia="Times New Roman" w:cs="Times New Roman" w:ascii="Times New Roman" w:hAnsi="Times New Roman"/>
          <w:sz w:val="24"/>
        </w:rPr>
        <w:t>H</w:t>
      </w:r>
      <w:r>
        <w:rPr>
          <w:rStyle w:val="Emphasis"/>
          <w:rFonts w:eastAsia="Times New Roman" w:cs="Times New Roman" w:ascii="Times New Roman" w:hAnsi="Times New Roman"/>
          <w:i w:val="false"/>
          <w:iCs w:val="false"/>
          <w:sz w:val="24"/>
          <w:vertAlign w:val="superscript"/>
        </w:rPr>
        <w:t>o</w:t>
      </w:r>
      <w:r>
        <w:rPr>
          <w:rStyle w:val="Emphasis"/>
          <w:rFonts w:eastAsia="Times New Roman" w:cs="Times New Roman" w:ascii="Times New Roman" w:hAnsi="Times New Roman"/>
          <w:i w:val="false"/>
          <w:iCs w:val="false"/>
          <w:sz w:val="24"/>
          <w:vertAlign w:val="subscript"/>
        </w:rPr>
        <w:t>f</w:t>
      </w:r>
      <w:r>
        <w:rPr>
          <w:rStyle w:val="Emphasis"/>
          <w:rFonts w:eastAsia="Times New Roman" w:cs="Times New Roman" w:ascii="Times New Roman" w:hAnsi="Times New Roman"/>
          <w:i w:val="false"/>
          <w:iCs w:val="false"/>
          <w:sz w:val="24"/>
        </w:rPr>
        <w:t xml:space="preserve"> </w:t>
      </w:r>
      <w:r>
        <w:rPr>
          <w:rStyle w:val="Emphasis"/>
          <w:rFonts w:eastAsia="Noto Sans CJK SC Regular" w:cs="Times New Roman" w:ascii="Times New Roman" w:hAnsi="Times New Roman"/>
          <w:i w:val="false"/>
          <w:iCs w:val="false"/>
          <w:sz w:val="24"/>
        </w:rPr>
        <w:t xml:space="preserve"> </w:t>
        <w:tab/>
        <w:tab/>
        <w:tab/>
      </w:r>
      <w:r>
        <w:rPr>
          <w:rStyle w:val="Emphasis"/>
          <w:rFonts w:eastAsia="Noto Sans CJK SC Regular" w:cs="Times New Roman" w:ascii="Times New Roman" w:hAnsi="Times New Roman"/>
          <w:sz w:val="24"/>
        </w:rPr>
        <w:t>η</w:t>
      </w:r>
      <w:r>
        <w:rPr>
          <w:rStyle w:val="Emphasis"/>
          <w:rFonts w:eastAsia="Noto Sans CJK SC Regular" w:cs="Times New Roman" w:ascii="Times New Roman" w:hAnsi="Times New Roman"/>
          <w:i w:val="false"/>
          <w:iCs w:val="false"/>
          <w:sz w:val="24"/>
        </w:rPr>
        <w:t xml:space="preserve"> = 766,4/857,6 = 0,89</w:t>
      </w:r>
      <w:r>
        <w:rPr>
          <w:rFonts w:ascii="Times New Roman" w:hAnsi="Times New Roman"/>
        </w:rPr>
        <w:t xml:space="preserve"> </w:t>
      </w:r>
    </w:p>
    <w:p>
      <w:pPr>
        <w:pStyle w:val="Default"/>
        <w:numPr>
          <w:ilvl w:val="0"/>
          <w:numId w:val="0"/>
        </w:numPr>
        <w:spacing w:lineRule="auto" w:line="240" w:before="0" w:after="0"/>
        <w:ind w:hanging="0" w:start="720"/>
        <w:rPr/>
      </w:pPr>
      <w:r>
        <w:rPr>
          <w:rStyle w:val="Emphasis"/>
          <w:rFonts w:ascii="Times New Roman" w:hAnsi="Times New Roman"/>
          <w:i w:val="false"/>
          <w:iCs w:val="false"/>
          <w:sz w:val="24"/>
        </w:rPr>
        <w:t>(plin, tekoč, vrelišče –33,1 °C pri tlaku 1 bar, tekoč pri +25 °C in tlaku 25 bar),</w:t>
      </w:r>
      <w:r>
        <w:rPr>
          <w:rFonts w:ascii="Times New Roman" w:hAnsi="Times New Roman"/>
        </w:rPr>
        <w:t xml:space="preserve"> </w:t>
      </w:r>
    </w:p>
    <w:p>
      <w:pPr>
        <w:pStyle w:val="Default"/>
        <w:widowControl/>
        <w:numPr>
          <w:ilvl w:val="0"/>
          <w:numId w:val="0"/>
        </w:numPr>
        <w:tabs>
          <w:tab w:val="clear" w:pos="0"/>
          <w:tab w:val="clear" w:pos="707"/>
          <w:tab w:val="left" w:pos="392" w:leader="none"/>
          <w:tab w:val="left" w:pos="1414" w:leader="none"/>
          <w:tab w:val="left" w:pos="2122" w:leader="none"/>
          <w:tab w:val="left" w:pos="2830" w:leader="none"/>
          <w:tab w:val="left" w:pos="3537" w:leader="none"/>
          <w:tab w:val="left" w:pos="4245" w:leader="none"/>
          <w:tab w:val="left" w:pos="4952" w:leader="none"/>
          <w:tab w:val="left" w:pos="5660" w:leader="none"/>
          <w:tab w:val="left" w:pos="6367" w:leader="none"/>
          <w:tab w:val="left" w:pos="7075" w:leader="none"/>
          <w:tab w:val="left" w:pos="7782" w:leader="none"/>
          <w:tab w:val="left" w:pos="8490" w:leader="none"/>
          <w:tab w:val="left" w:pos="9197" w:leader="none"/>
          <w:tab w:val="left" w:pos="9905" w:leader="none"/>
          <w:tab w:val="left" w:pos="10612" w:leader="none"/>
          <w:tab w:val="left" w:pos="11320" w:leader="none"/>
          <w:tab w:val="left" w:pos="12027" w:leader="none"/>
          <w:tab w:val="left" w:pos="12735" w:leader="none"/>
          <w:tab w:val="left" w:pos="13442" w:leader="none"/>
          <w:tab w:val="left" w:pos="14150" w:leader="none"/>
        </w:tabs>
        <w:suppressAutoHyphens w:val="true"/>
        <w:bidi w:val="0"/>
        <w:spacing w:lineRule="auto" w:line="240" w:before="0" w:after="0"/>
        <w:ind w:hanging="0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kjer je Δ</w:t>
      </w:r>
      <w:r>
        <w:rPr>
          <w:rFonts w:ascii="Times New Roman" w:hAnsi="Times New Roman"/>
          <w:i/>
          <w:iCs/>
          <w:sz w:val="24"/>
        </w:rPr>
        <w:t>H</w:t>
      </w:r>
      <w:r>
        <w:rPr>
          <w:rFonts w:ascii="Times New Roman" w:hAnsi="Times New Roman"/>
          <w:sz w:val="24"/>
        </w:rPr>
        <w:t xml:space="preserve"> tvorbena entalpija, tj. toplotna energija, ki po naravni zakonitosti (neizogibno) nastane (ali jo je treba dodati) v takšnem kemijskem procesu in je npr. poleti nimamo kam shraniti, je tedaj »odpadna«,</w:t>
      </w:r>
    </w:p>
    <w:p>
      <w:pPr>
        <w:pStyle w:val="Default"/>
        <w:numPr>
          <w:ilvl w:val="0"/>
          <w:numId w:val="1"/>
        </w:numPr>
        <w:spacing w:lineRule="auto" w:line="240" w:before="0" w:after="0"/>
        <w:rPr/>
      </w:pPr>
      <w:r>
        <w:rPr>
          <w:rFonts w:eastAsia="HG Mincho Light J;msmincho" w:cs="Times New Roman" w:ascii="Times New Roman" w:hAnsi="Times New Roman"/>
          <w:sz w:val="24"/>
        </w:rPr>
        <w:t xml:space="preserve">v metilni alkohol </w:t>
      </w:r>
      <w:r>
        <w:rPr>
          <w:rStyle w:val="Emphasis"/>
          <w:rFonts w:eastAsia="Times New Roman" w:cs="Times New Roman" w:ascii="Times New Roman" w:hAnsi="Times New Roman"/>
          <w:i w:val="false"/>
          <w:iCs w:val="false"/>
          <w:sz w:val="24"/>
        </w:rPr>
        <w:t>CO</w:t>
      </w:r>
      <w:r>
        <w:rPr>
          <w:rStyle w:val="Emphasis"/>
          <w:rFonts w:eastAsia="Times New Roman" w:cs="Times New Roman" w:ascii="Times New Roman" w:hAnsi="Times New Roman"/>
          <w:i w:val="false"/>
          <w:iCs w:val="false"/>
          <w:sz w:val="24"/>
          <w:vertAlign w:val="subscript"/>
        </w:rPr>
        <w:t>2</w:t>
      </w:r>
      <w:r>
        <w:rPr>
          <w:rStyle w:val="Emphasis"/>
          <w:rFonts w:eastAsia="Times New Roman" w:cs="Times New Roman" w:ascii="Times New Roman" w:hAnsi="Times New Roman"/>
          <w:i w:val="false"/>
          <w:iCs w:val="false"/>
          <w:sz w:val="24"/>
        </w:rPr>
        <w:t xml:space="preserve"> + 3H</w:t>
      </w:r>
      <w:r>
        <w:rPr>
          <w:rStyle w:val="Emphasis"/>
          <w:rFonts w:eastAsia="Times New Roman" w:cs="Times New Roman" w:ascii="Times New Roman" w:hAnsi="Times New Roman"/>
          <w:i w:val="false"/>
          <w:iCs w:val="false"/>
          <w:sz w:val="24"/>
          <w:vertAlign w:val="subscript"/>
        </w:rPr>
        <w:t>2</w:t>
      </w:r>
      <w:r>
        <w:rPr>
          <w:rStyle w:val="Emphasis"/>
          <w:rFonts w:eastAsia="Times New Roman" w:cs="Times New Roman" w:ascii="Times New Roman" w:hAnsi="Times New Roman"/>
          <w:i w:val="false"/>
          <w:iCs w:val="false"/>
          <w:sz w:val="24"/>
        </w:rPr>
        <w:t xml:space="preserve"> → CH</w:t>
      </w:r>
      <w:r>
        <w:rPr>
          <w:rStyle w:val="Emphasis"/>
          <w:rFonts w:eastAsia="Times New Roman" w:cs="Times New Roman" w:ascii="Times New Roman" w:hAnsi="Times New Roman"/>
          <w:i w:val="false"/>
          <w:iCs w:val="false"/>
          <w:sz w:val="24"/>
          <w:vertAlign w:val="subscript"/>
        </w:rPr>
        <w:t>3</w:t>
      </w:r>
      <w:r>
        <w:rPr>
          <w:rStyle w:val="Emphasis"/>
          <w:rFonts w:eastAsia="Times New Roman" w:cs="Times New Roman" w:ascii="Times New Roman" w:hAnsi="Times New Roman"/>
          <w:i w:val="false"/>
          <w:iCs w:val="false"/>
          <w:sz w:val="24"/>
        </w:rPr>
        <w:t>OH + H</w:t>
      </w:r>
      <w:r>
        <w:rPr>
          <w:rStyle w:val="Emphasis"/>
          <w:rFonts w:eastAsia="Times New Roman" w:cs="Times New Roman" w:ascii="Times New Roman" w:hAnsi="Times New Roman"/>
          <w:i w:val="false"/>
          <w:iCs w:val="false"/>
          <w:sz w:val="24"/>
          <w:vertAlign w:val="subscript"/>
        </w:rPr>
        <w:t>2</w:t>
      </w:r>
      <w:r>
        <w:rPr>
          <w:rStyle w:val="Emphasis"/>
          <w:rFonts w:eastAsia="Times New Roman" w:cs="Times New Roman" w:ascii="Times New Roman" w:hAnsi="Times New Roman"/>
          <w:i w:val="false"/>
          <w:iCs w:val="false"/>
          <w:sz w:val="24"/>
        </w:rPr>
        <w:t>O – Δ</w:t>
      </w:r>
      <w:r>
        <w:rPr>
          <w:rStyle w:val="Emphasis"/>
          <w:rFonts w:eastAsia="Times New Roman" w:cs="Times New Roman" w:ascii="Times New Roman" w:hAnsi="Times New Roman"/>
          <w:sz w:val="24"/>
        </w:rPr>
        <w:t>H</w:t>
      </w:r>
      <w:r>
        <w:rPr>
          <w:rStyle w:val="Emphasis"/>
          <w:rFonts w:eastAsia="Times New Roman" w:cs="Times New Roman" w:ascii="Times New Roman" w:hAnsi="Times New Roman"/>
          <w:i w:val="false"/>
          <w:iCs w:val="false"/>
          <w:sz w:val="24"/>
          <w:vertAlign w:val="subscript"/>
        </w:rPr>
        <w:t xml:space="preserve">of </w:t>
      </w:r>
      <w:r>
        <w:rPr>
          <w:rStyle w:val="Emphasis"/>
          <w:rFonts w:eastAsia="Times New Roman" w:cs="Times New Roman" w:ascii="Times New Roman" w:hAnsi="Times New Roman"/>
          <w:i w:val="false"/>
          <w:iCs w:val="false"/>
          <w:sz w:val="24"/>
        </w:rPr>
        <w:t xml:space="preserve"> </w:t>
        <w:tab/>
      </w:r>
      <w:r>
        <w:rPr>
          <w:rStyle w:val="Emphasis"/>
          <w:rFonts w:eastAsia="Times New Roman" w:cs="Times New Roman" w:ascii="Times New Roman" w:hAnsi="Times New Roman"/>
          <w:sz w:val="24"/>
        </w:rPr>
        <w:t>η</w:t>
      </w:r>
      <w:r>
        <w:rPr>
          <w:rStyle w:val="Emphasis"/>
          <w:rFonts w:eastAsia="Times New Roman" w:cs="Times New Roman" w:ascii="Times New Roman" w:hAnsi="Times New Roman"/>
          <w:i w:val="false"/>
          <w:iCs w:val="false"/>
          <w:sz w:val="24"/>
        </w:rPr>
        <w:t xml:space="preserve"> = 727/856 = 0,85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</w:rPr>
        <w:t xml:space="preserve">(metanol – pri temperaturi okolice lahko hlapljiva tekočina, </w:t>
      </w:r>
    </w:p>
    <w:p>
      <w:pPr>
        <w:pStyle w:val="Default"/>
        <w:numPr>
          <w:ilvl w:val="0"/>
          <w:numId w:val="0"/>
        </w:numPr>
        <w:spacing w:lineRule="auto" w:line="240" w:before="0" w:after="0"/>
        <w:ind w:hanging="0" w:start="720"/>
        <w:rPr/>
      </w:pPr>
      <w:r>
        <w:rPr>
          <w:rFonts w:ascii="Times New Roman" w:hAnsi="Times New Roman"/>
          <w:sz w:val="24"/>
        </w:rPr>
        <w:t>vrelišče pri 1 bar +64,7 °C, pri +25 °C primeren nadtlak v rezervoarju npr. 0,1 bar)</w:t>
      </w:r>
      <w:r>
        <w:rPr>
          <w:rStyle w:val="Emphasis"/>
          <w:rFonts w:eastAsia="Times New Roman" w:ascii="Times New Roman" w:hAnsi="Times New Roman"/>
          <w:i w:val="false"/>
          <w:iCs w:val="false"/>
          <w:sz w:val="24"/>
        </w:rPr>
        <w:t>.</w:t>
      </w:r>
    </w:p>
    <w:p>
      <w:pPr>
        <w:pStyle w:val="Default"/>
        <w:spacing w:lineRule="auto" w:line="240" w:before="0" w:after="0"/>
        <w:jc w:val="both"/>
        <w:rPr/>
      </w:pPr>
      <w:r>
        <w:rPr>
          <w:rStyle w:val="Emphasis"/>
          <w:rFonts w:eastAsia="Times New Roman" w:ascii="Times New Roman" w:hAnsi="Times New Roman"/>
          <w:i w:val="false"/>
          <w:iCs w:val="false"/>
          <w:sz w:val="24"/>
        </w:rPr>
        <w:tab/>
        <w:t>Vidimo, da pri teh pretvorbah že v prvem koraku teoretično izgubimo 11 % ali več energije, v realnem procesu pa veliko več (poleg stroškov za investicije in obratovanje). Pri več zaporednih pretvorbah električna energija-H</w:t>
      </w:r>
      <w:r>
        <w:rPr>
          <w:rStyle w:val="Emphasis"/>
          <w:rFonts w:eastAsia="Times New Roman" w:ascii="Times New Roman" w:hAnsi="Times New Roman"/>
          <w:i w:val="false"/>
          <w:iCs w:val="false"/>
          <w:sz w:val="24"/>
          <w:vertAlign w:val="subscript"/>
        </w:rPr>
        <w:t>2</w:t>
      </w:r>
      <w:r>
        <w:rPr>
          <w:rStyle w:val="Emphasis"/>
          <w:rFonts w:eastAsia="Times New Roman" w:ascii="Times New Roman" w:hAnsi="Times New Roman"/>
          <w:i w:val="false"/>
          <w:iCs w:val="false"/>
          <w:sz w:val="24"/>
        </w:rPr>
        <w:t>-...-...-električna energija je končni celotni izkoristek manjši od 30–20 %.</w:t>
      </w:r>
    </w:p>
    <w:p>
      <w:pPr>
        <w:pStyle w:val="Default"/>
        <w:spacing w:lineRule="auto" w:line="240" w:before="0" w:after="0"/>
        <w:jc w:val="both"/>
        <w:rPr/>
      </w:pPr>
      <w:r>
        <w:rPr>
          <w:rFonts w:eastAsia="HG Mincho Light J;msmincho" w:cs="Times New Roman" w:ascii="Times New Roman" w:hAnsi="Times New Roman"/>
          <w:sz w:val="24"/>
        </w:rPr>
        <w:tab/>
        <w:t>Za današnje velike porabnike H</w:t>
      </w:r>
      <w:r>
        <w:rPr>
          <w:rFonts w:eastAsia="HG Mincho Light J;msmincho" w:cs="Times New Roman" w:ascii="Times New Roman" w:hAnsi="Times New Roman"/>
          <w:sz w:val="24"/>
          <w:vertAlign w:val="subscript"/>
        </w:rPr>
        <w:t>2</w:t>
      </w:r>
      <w:r>
        <w:rPr>
          <w:rFonts w:eastAsia="HG Mincho Light J;msmincho" w:cs="Times New Roman" w:ascii="Times New Roman" w:hAnsi="Times New Roman"/>
          <w:sz w:val="24"/>
        </w:rPr>
        <w:t xml:space="preserve"> (npr. rafinerije nafte) je pridobivanje H</w:t>
      </w:r>
      <w:r>
        <w:rPr>
          <w:rFonts w:eastAsia="HG Mincho Light J;msmincho" w:cs="Times New Roman" w:ascii="Times New Roman" w:hAnsi="Times New Roman"/>
          <w:sz w:val="24"/>
          <w:vertAlign w:val="subscript"/>
        </w:rPr>
        <w:t>2</w:t>
      </w:r>
      <w:r>
        <w:rPr>
          <w:rFonts w:eastAsia="HG Mincho Light J;msmincho" w:cs="Times New Roman" w:ascii="Times New Roman" w:hAnsi="Times New Roman"/>
          <w:sz w:val="24"/>
        </w:rPr>
        <w:t xml:space="preserve"> z elektrolizo predrago. Kot najprimernejšega za pridobivanje H</w:t>
      </w:r>
      <w:r>
        <w:rPr>
          <w:rFonts w:eastAsia="HG Mincho Light J;msmincho" w:cs="Times New Roman" w:ascii="Times New Roman" w:hAnsi="Times New Roman"/>
          <w:sz w:val="24"/>
          <w:vertAlign w:val="subscript"/>
        </w:rPr>
        <w:t>2</w:t>
      </w:r>
      <w:r>
        <w:rPr>
          <w:rFonts w:eastAsia="HG Mincho Light J;msmincho" w:cs="Times New Roman" w:ascii="Times New Roman" w:hAnsi="Times New Roman"/>
          <w:sz w:val="24"/>
        </w:rPr>
        <w:t xml:space="preserve"> uporabljajo postopek MSR</w:t>
      </w:r>
      <w:r>
        <w:rPr>
          <w:rStyle w:val="Emphasis"/>
          <w:rFonts w:eastAsia="HG Mincho Light J;msmincho" w:cs="Times New Roman" w:ascii="Times New Roman" w:hAnsi="Times New Roman"/>
          <w:i w:val="false"/>
          <w:iCs w:val="false"/>
          <w:sz w:val="24"/>
        </w:rPr>
        <w:t xml:space="preserve"> (methane steam reforming)</w:t>
      </w:r>
      <w:r>
        <w:rPr>
          <w:rFonts w:eastAsia="HG Mincho Light J;msmincho" w:cs="Times New Roman" w:ascii="Times New Roman" w:hAnsi="Times New Roman"/>
          <w:sz w:val="24"/>
        </w:rPr>
        <w:t>, tj. iz naravnega zemeljskega plina (ZP, metan = CH</w:t>
      </w:r>
      <w:r>
        <w:rPr>
          <w:rFonts w:eastAsia="HG Mincho Light J;msmincho" w:cs="Times New Roman" w:ascii="Times New Roman" w:hAnsi="Times New Roman"/>
          <w:sz w:val="24"/>
          <w:vertAlign w:val="subscript"/>
        </w:rPr>
        <w:t>4</w:t>
      </w:r>
      <w:r>
        <w:rPr>
          <w:rFonts w:eastAsia="HG Mincho Light J;msmincho" w:cs="Times New Roman" w:ascii="Times New Roman" w:hAnsi="Times New Roman"/>
          <w:sz w:val="24"/>
        </w:rPr>
        <w:t xml:space="preserve"> sestavina 95 %) + vodna para  pri dokaj visoki temperaturi, ki jo prispeva kurjenje metana. </w:t>
      </w:r>
      <w:r>
        <w:rPr>
          <w:rStyle w:val="Emphasis"/>
          <w:rFonts w:eastAsia="HG Mincho Light J;msmincho" w:cs="Times New Roman" w:ascii="Times New Roman" w:hAnsi="Times New Roman"/>
          <w:i w:val="false"/>
          <w:iCs w:val="false"/>
          <w:sz w:val="24"/>
        </w:rPr>
        <w:t>MSR,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</w:rPr>
        <w:t xml:space="preserve"> </w:t>
      </w:r>
      <w:r>
        <w:rPr>
          <w:rStyle w:val="Strong"/>
          <w:rFonts w:eastAsia="HG Mincho Light J;msmincho" w:cs="Times New Roman" w:ascii="Times New Roman" w:hAnsi="Times New Roman"/>
          <w:b w:val="false"/>
          <w:bCs w:val="false"/>
          <w:sz w:val="24"/>
        </w:rPr>
        <w:t>CH</w:t>
      </w:r>
      <w:r>
        <w:rPr>
          <w:rStyle w:val="Strong"/>
          <w:rFonts w:eastAsia="HG Mincho Light J;msmincho" w:cs="Times New Roman" w:ascii="Times New Roman" w:hAnsi="Times New Roman"/>
          <w:b w:val="false"/>
          <w:bCs w:val="false"/>
          <w:sz w:val="24"/>
          <w:vertAlign w:val="subscript"/>
        </w:rPr>
        <w:t>4</w:t>
      </w:r>
      <w:r>
        <w:rPr>
          <w:rStyle w:val="Strong"/>
          <w:rFonts w:eastAsia="HG Mincho Light J;msmincho" w:cs="Times New Roman" w:ascii="Times New Roman" w:hAnsi="Times New Roman"/>
          <w:b w:val="false"/>
          <w:bCs w:val="false"/>
          <w:sz w:val="24"/>
        </w:rPr>
        <w:t xml:space="preserve"> + 2H</w:t>
      </w:r>
      <w:r>
        <w:rPr>
          <w:rStyle w:val="Strong"/>
          <w:rFonts w:eastAsia="HG Mincho Light J;msmincho" w:cs="Times New Roman" w:ascii="Times New Roman" w:hAnsi="Times New Roman"/>
          <w:b w:val="false"/>
          <w:bCs w:val="false"/>
          <w:sz w:val="24"/>
          <w:vertAlign w:val="subscript"/>
        </w:rPr>
        <w:t>2</w:t>
      </w:r>
      <w:r>
        <w:rPr>
          <w:rStyle w:val="Strong"/>
          <w:rFonts w:eastAsia="HG Mincho Light J;msmincho" w:cs="Times New Roman" w:ascii="Times New Roman" w:hAnsi="Times New Roman"/>
          <w:b w:val="false"/>
          <w:bCs w:val="false"/>
          <w:sz w:val="24"/>
        </w:rPr>
        <w:t xml:space="preserve">O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</w:rPr>
        <w:t>→ CO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vertAlign w:val="subscript"/>
        </w:rPr>
        <w:t>2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</w:rPr>
        <w:t xml:space="preserve"> + 4H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vertAlign w:val="subscript"/>
        </w:rPr>
        <w:t>2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</w:rPr>
        <w:t>, odvečni/neželeni CO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vertAlign w:val="subscript"/>
        </w:rPr>
        <w:t>2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</w:rPr>
        <w:t>, »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/>
          <w:iCs/>
          <w:sz w:val="24"/>
        </w:rPr>
        <w:t>η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</w:rPr>
        <w:t xml:space="preserve"> &gt; 1« ... potreben presežek energije na vstopni strani je doveden s toploto zgorevanja zemeljskega plina + električna energija za pogone.</w:t>
      </w:r>
      <w:r>
        <w:rPr>
          <w:rFonts w:eastAsia="HG Mincho Light J;msmincho" w:cs="Times New Roman" w:ascii="Times New Roman" w:hAnsi="Times New Roman"/>
          <w:sz w:val="24"/>
        </w:rPr>
        <w:t xml:space="preserve"> Energijska enačba v komercialnem procesu pokaže 140 % energije v vstopnem zemeljskem plinu in le 70 % v izstopnem H</w:t>
      </w:r>
      <w:r>
        <w:rPr>
          <w:rFonts w:eastAsia="HG Mincho Light J;msmincho" w:cs="Times New Roman" w:ascii="Times New Roman" w:hAnsi="Times New Roman"/>
          <w:sz w:val="24"/>
          <w:vertAlign w:val="subscript"/>
        </w:rPr>
        <w:t>2</w:t>
      </w:r>
      <w:r>
        <w:rPr>
          <w:rFonts w:eastAsia="HG Mincho Light J;msmincho" w:cs="Times New Roman" w:ascii="Times New Roman" w:hAnsi="Times New Roman"/>
          <w:sz w:val="24"/>
        </w:rPr>
        <w:t xml:space="preserve">, torej dejanski energijski izkoristek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/>
          <w:iCs/>
          <w:sz w:val="24"/>
        </w:rPr>
        <w:t>η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</w:rPr>
        <w:t xml:space="preserve"> je </w:t>
      </w:r>
      <w:r>
        <w:rPr>
          <w:rFonts w:eastAsia="HG Mincho Light J;msmincho" w:cs="Times New Roman" w:ascii="Times New Roman" w:hAnsi="Times New Roman"/>
          <w:sz w:val="24"/>
        </w:rPr>
        <w:t>okoli 50 %.</w:t>
      </w:r>
    </w:p>
    <w:p>
      <w:pPr>
        <w:pStyle w:val="Default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</w:rPr>
        <w:tab/>
        <w:t>Z vidika energijskega izkoristka je torej najbolje shraniti elementarni vodik. Uporaba 100-odstotnega H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>, amonijaka, alkohola itd. je mogoča v plinskih turbinah/agregatih (</w:t>
      </w:r>
      <w:r>
        <w:rPr>
          <w:rFonts w:ascii="Times New Roman" w:hAnsi="Times New Roman"/>
          <w:i/>
          <w:iCs/>
          <w:sz w:val="24"/>
        </w:rPr>
        <w:t>η</w:t>
      </w:r>
      <w:r>
        <w:rPr>
          <w:rFonts w:ascii="Times New Roman" w:hAnsi="Times New Roman"/>
          <w:sz w:val="24"/>
          <w:vertAlign w:val="subscript"/>
        </w:rPr>
        <w:t>ee</w:t>
      </w:r>
      <w:r>
        <w:rPr>
          <w:rFonts w:ascii="Times New Roman" w:hAnsi="Times New Roman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>≤</w:t>
      </w:r>
      <w:r>
        <w:rPr>
          <w:rFonts w:ascii="Times New Roman" w:hAnsi="Times New Roman"/>
          <w:sz w:val="24"/>
        </w:rPr>
        <w:t xml:space="preserve"> 60 %) s primerno konstrukcijo ali predelanih, v gorivnih celicah, v tehnoloških proizvodnih procesih. Proizvodnja električne energije z agregati na zemeljski plin, da bi z elektrolizo pridobili H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>, je energetski in ekonomski nesmisel. Predvsem pozimi je zelo uporabna tudi »odpadna« toplota – za ogrevanje, poleti za hlajenje in za kakšne druge namene.</w:t>
      </w:r>
    </w:p>
    <w:p>
      <w:pPr>
        <w:pStyle w:val="Default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</w:rPr>
        <w:tab/>
        <w:t>Nosilec "Projekta Severnojadranska vodikova zelena dolina" organizira strokovno delovno skupino (montanisti+speleologi+geologi+metalurgi+tehnologi+...), ki bo opravila oglede in posvete pri izvedenih hranilnikih v Evropi in drugod ter v SI-HR-FVG poiskala primerne lokacije za globokozemne hranilnike za vodik (okvirno 0,5-1,0 Mm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>, 200-300 bar), vključno s predlogi za tehnološko izvedbo.</w:t>
      </w:r>
    </w:p>
    <w:sectPr>
      <w:footerReference w:type="default" r:id="rId2"/>
      <w:type w:val="nextPage"/>
      <w:pgSz w:w="11906" w:h="16838"/>
      <w:pgMar w:left="1417" w:right="1417" w:gutter="0" w:header="0" w:top="1417" w:footer="850" w:bottom="141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sz w:val="14"/>
        <w:szCs w:val="14"/>
        <w:lang w:val="sl-SI"/>
      </w:rPr>
      <w:t>hranilnikiH2-250313-1214vol</w:t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>/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4"/>
        <w:szCs w:val="14"/>
      </w:rPr>
      <w:tab/>
      <w:t>M.K.251002/1214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–"/>
      <w:lvlJc w:val="start"/>
      <w:pPr>
        <w:tabs>
          <w:tab w:val="num" w:pos="0"/>
        </w:tabs>
        <w:ind w:star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567"/>
  <w:autoHyphenation w:val="true"/>
  <w:hyphenationZone w:val="425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" w:cs="Lohit Hindi"/>
        <w:sz w:val="24"/>
        <w:szCs w:val="24"/>
        <w:lang w:val="sl-SI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overflowPunct w:val="false"/>
      <w:bidi w:val="0"/>
      <w:spacing w:before="0" w:after="0"/>
      <w:jc w:val="start"/>
    </w:pPr>
    <w:rPr>
      <w:rFonts w:ascii="Times New Roman" w:hAnsi="Times New Roman" w:eastAsia="HG Mincho Light J;msmincho" w:cs="Times New Roman"/>
      <w:color w:val="000000"/>
      <w:kern w:val="0"/>
      <w:sz w:val="24"/>
      <w:szCs w:val="20"/>
      <w:lang w:val="en-GB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NumberingSymbols">
    <w:name w:val="Numbering Symbols"/>
    <w:qFormat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cs="Arial"/>
      <w:sz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sz w:val="20"/>
    </w:rPr>
  </w:style>
  <w:style w:type="paragraph" w:styleId="HeaderandFooter" w:customStyle="1">
    <w:name w:val="Header and Footer"/>
    <w:basedOn w:val="Normal"/>
    <w:qFormat/>
    <w:pPr>
      <w:suppressLineNumbers/>
      <w:tabs>
        <w:tab w:val="clear" w:pos="567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567"/>
        <w:tab w:val="center" w:pos="4535" w:leader="none"/>
        <w:tab w:val="right" w:pos="9071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567"/>
        <w:tab w:val="center" w:pos="4819" w:leader="none"/>
        <w:tab w:val="right" w:pos="9638" w:leader="none"/>
      </w:tabs>
    </w:pPr>
    <w:rPr/>
  </w:style>
  <w:style w:type="paragraph" w:styleId="Default" w:customStyle="1">
    <w:name w:val="Default"/>
    <w:qFormat/>
    <w:pPr>
      <w:widowControl/>
      <w:tabs>
        <w:tab w:val="clear" w:pos="567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before="0" w:after="0"/>
      <w:jc w:val="start"/>
    </w:pPr>
    <w:rPr>
      <w:rFonts w:ascii="Arial" w:hAnsi="Arial" w:eastAsia="Liberation Sans;Arial" w:cs="Liberation Serif;Times New Roma"/>
      <w:color w:val="000000"/>
      <w:kern w:val="0"/>
      <w:sz w:val="36"/>
      <w:szCs w:val="24"/>
      <w:lang w:val="sl-SI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NumberingIVX">
    <w:name w:val="Numbering IVX"/>
    <w:qFormat/>
  </w:style>
  <w:style w:type="table" w:default="1" w:styleId="Navadnatabel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LibreOffice/7.6.7.2$Linux_X86_64 LibreOffice_project/60$Build-2</Application>
  <AppVersion>15.0000</AppVersion>
  <Pages>1</Pages>
  <Words>617</Words>
  <Characters>3520</Characters>
  <CharactersWithSpaces>4129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2025-10-02T16:23:34Z</dcterms:created>
  <dc:creator>M Koželj</dc:creator>
  <dc:description/>
  <dc:language>sl-SI</dc:language>
  <cp:lastModifiedBy>M Koželj</cp:lastModifiedBy>
  <cp:lastPrinted>2025-12-14T13:58:14Z</cp:lastPrinted>
  <dcterms:modified xsi:type="dcterms:W3CDTF">2025-12-16T07:35:30Z</dcterms:modified>
  <cp:revision>20</cp:revision>
  <dc:subject/>
  <dc:title>Template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